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BD67F" w14:textId="7F231C77" w:rsidR="003359E0" w:rsidRPr="00E5582C" w:rsidRDefault="003359E0" w:rsidP="003359E0">
      <w:pPr>
        <w:pStyle w:val="NormalWeb"/>
        <w:rPr>
          <w:rFonts w:ascii="Century" w:hAnsi="Century"/>
          <w:b/>
          <w:bCs/>
          <w:sz w:val="22"/>
          <w:szCs w:val="22"/>
          <w:u w:val="single"/>
        </w:rPr>
      </w:pPr>
      <w:r w:rsidRPr="00E5582C">
        <w:rPr>
          <w:rFonts w:ascii="Century" w:hAnsi="Century"/>
          <w:b/>
          <w:bCs/>
          <w:sz w:val="22"/>
          <w:szCs w:val="22"/>
          <w:u w:val="single"/>
        </w:rPr>
        <w:t xml:space="preserve">DWR Recommended Corrective Action </w:t>
      </w:r>
      <w:r w:rsidR="00973060" w:rsidRPr="00E5582C">
        <w:rPr>
          <w:rFonts w:ascii="Century" w:hAnsi="Century"/>
          <w:b/>
          <w:bCs/>
          <w:sz w:val="22"/>
          <w:szCs w:val="22"/>
          <w:u w:val="single"/>
        </w:rPr>
        <w:t xml:space="preserve">No. 1 </w:t>
      </w:r>
      <w:r w:rsidRPr="00E5582C">
        <w:rPr>
          <w:rFonts w:ascii="Century" w:hAnsi="Century"/>
          <w:b/>
          <w:bCs/>
          <w:sz w:val="22"/>
          <w:szCs w:val="22"/>
          <w:u w:val="single"/>
        </w:rPr>
        <w:t>Reference</w:t>
      </w:r>
      <w:r w:rsidR="00B45F9D" w:rsidRPr="00E5582C">
        <w:rPr>
          <w:rFonts w:ascii="Century" w:hAnsi="Century"/>
          <w:b/>
          <w:bCs/>
          <w:sz w:val="22"/>
          <w:szCs w:val="22"/>
          <w:u w:val="single"/>
        </w:rPr>
        <w:t xml:space="preserve"> from California Code of Regulations </w:t>
      </w:r>
      <w:r w:rsidR="00973060" w:rsidRPr="00E5582C">
        <w:rPr>
          <w:rFonts w:ascii="Century" w:hAnsi="Century"/>
          <w:b/>
          <w:bCs/>
          <w:sz w:val="22"/>
          <w:szCs w:val="22"/>
          <w:u w:val="single"/>
        </w:rPr>
        <w:t xml:space="preserve">Title </w:t>
      </w:r>
      <w:r w:rsidR="00B45F9D" w:rsidRPr="00E5582C">
        <w:rPr>
          <w:rFonts w:ascii="Century" w:hAnsi="Century"/>
          <w:b/>
          <w:bCs/>
          <w:sz w:val="22"/>
          <w:szCs w:val="22"/>
          <w:u w:val="single"/>
        </w:rPr>
        <w:t>23</w:t>
      </w:r>
      <w:r w:rsidR="009174A2" w:rsidRPr="00E5582C">
        <w:rPr>
          <w:rFonts w:ascii="Century" w:hAnsi="Century"/>
          <w:b/>
          <w:bCs/>
          <w:sz w:val="22"/>
          <w:szCs w:val="22"/>
          <w:u w:val="single"/>
        </w:rPr>
        <w:t>:</w:t>
      </w:r>
    </w:p>
    <w:p w14:paraId="3B4C1BCC" w14:textId="1E4BF17C" w:rsidR="003359E0" w:rsidRDefault="003359E0" w:rsidP="003359E0">
      <w:pPr>
        <w:pStyle w:val="NormalWeb"/>
      </w:pPr>
      <w:r>
        <w:rPr>
          <w:rFonts w:ascii="Century" w:hAnsi="Century"/>
          <w:sz w:val="22"/>
          <w:szCs w:val="22"/>
        </w:rPr>
        <w:t xml:space="preserve">§ 354.10. Notice and Communication </w:t>
      </w:r>
    </w:p>
    <w:p w14:paraId="71D33301" w14:textId="77777777" w:rsidR="003359E0" w:rsidRDefault="003359E0" w:rsidP="003359E0">
      <w:pPr>
        <w:pStyle w:val="NormalWeb"/>
      </w:pPr>
      <w:r>
        <w:rPr>
          <w:rFonts w:ascii="Century" w:hAnsi="Century"/>
          <w:sz w:val="22"/>
          <w:szCs w:val="22"/>
        </w:rPr>
        <w:t xml:space="preserve">Each Plan shall include a summary of information relating to notification and communication by the Agency with other agencies and interested parties including the following: </w:t>
      </w:r>
    </w:p>
    <w:p w14:paraId="4E589BA8" w14:textId="77777777" w:rsidR="003359E0" w:rsidRDefault="003359E0" w:rsidP="003359E0">
      <w:pPr>
        <w:pStyle w:val="NormalWeb"/>
      </w:pPr>
      <w:r>
        <w:rPr>
          <w:rFonts w:ascii="Century" w:hAnsi="Century"/>
          <w:sz w:val="22"/>
          <w:szCs w:val="22"/>
        </w:rPr>
        <w:t xml:space="preserve">(a) A description of the beneficial uses and users of groundwater in the basin, including the land uses and property interests potentially affected by the use of groundwater in the basin, the types of parties representing those interests, and the nature of consultation with those parties. </w:t>
      </w:r>
    </w:p>
    <w:p w14:paraId="38586442" w14:textId="77777777" w:rsidR="003359E0" w:rsidRDefault="003359E0" w:rsidP="003359E0">
      <w:pPr>
        <w:pStyle w:val="NormalWeb"/>
      </w:pPr>
      <w:r>
        <w:rPr>
          <w:rFonts w:ascii="Century" w:hAnsi="Century"/>
          <w:sz w:val="22"/>
          <w:szCs w:val="22"/>
        </w:rPr>
        <w:t xml:space="preserve">(b) A list of public meetings at which the Plan was discussed or considered by the Agency. </w:t>
      </w:r>
    </w:p>
    <w:p w14:paraId="320B04DB" w14:textId="77777777" w:rsidR="003359E0" w:rsidRDefault="003359E0" w:rsidP="003359E0">
      <w:pPr>
        <w:pStyle w:val="NormalWeb"/>
      </w:pPr>
      <w:r>
        <w:rPr>
          <w:rFonts w:ascii="Century" w:hAnsi="Century"/>
          <w:sz w:val="22"/>
          <w:szCs w:val="22"/>
        </w:rPr>
        <w:t xml:space="preserve">(c) Comments regarding the Plan received by the Agency and a summary of any responses by the Agency. </w:t>
      </w:r>
    </w:p>
    <w:p w14:paraId="6BC606F8" w14:textId="77777777" w:rsidR="003359E0" w:rsidRDefault="003359E0" w:rsidP="003359E0">
      <w:pPr>
        <w:pStyle w:val="NormalWeb"/>
      </w:pPr>
      <w:r>
        <w:rPr>
          <w:rFonts w:ascii="Century" w:hAnsi="Century"/>
          <w:sz w:val="22"/>
          <w:szCs w:val="22"/>
        </w:rPr>
        <w:t xml:space="preserve">(d) A communication section of the Plan that includes the following: (1) An explanation of the Agency’s decision-making process. </w:t>
      </w:r>
    </w:p>
    <w:p w14:paraId="270647E3" w14:textId="77777777" w:rsidR="003359E0" w:rsidRDefault="003359E0" w:rsidP="003359E0">
      <w:pPr>
        <w:pStyle w:val="NormalWeb"/>
      </w:pPr>
      <w:r>
        <w:rPr>
          <w:rFonts w:ascii="Century" w:hAnsi="Century"/>
          <w:sz w:val="22"/>
          <w:szCs w:val="22"/>
        </w:rPr>
        <w:t xml:space="preserve">(2) Identification of opportunities for public engagement and a discussion of how public input and response will be used. </w:t>
      </w:r>
    </w:p>
    <w:p w14:paraId="3700A99B" w14:textId="77777777" w:rsidR="003359E0" w:rsidRDefault="003359E0" w:rsidP="003359E0">
      <w:pPr>
        <w:pStyle w:val="NormalWeb"/>
      </w:pPr>
      <w:r>
        <w:rPr>
          <w:rFonts w:ascii="Century" w:hAnsi="Century"/>
          <w:sz w:val="22"/>
          <w:szCs w:val="22"/>
        </w:rPr>
        <w:t xml:space="preserve">(3) A description of how the Agency encourages the active involvement of diverse social, cultural, and economic elements of the population within the basin. </w:t>
      </w:r>
    </w:p>
    <w:p w14:paraId="12A3B8AF" w14:textId="25AC5BD7" w:rsidR="003359E0" w:rsidRDefault="003359E0" w:rsidP="003359E0">
      <w:pPr>
        <w:pStyle w:val="NormalWeb"/>
      </w:pPr>
      <w:r>
        <w:rPr>
          <w:rFonts w:ascii="Century" w:hAnsi="Century"/>
          <w:sz w:val="22"/>
          <w:szCs w:val="22"/>
        </w:rPr>
        <w:t xml:space="preserve">(4) The method the Agency shall follow to inform the public about progress implementing the Plan, including the status of projects and actions. </w:t>
      </w:r>
    </w:p>
    <w:p w14:paraId="2DF0BAF0" w14:textId="77777777" w:rsidR="003359E0" w:rsidRDefault="003359E0" w:rsidP="003359E0">
      <w:pPr>
        <w:pStyle w:val="NormalWeb"/>
      </w:pPr>
      <w:r>
        <w:rPr>
          <w:rFonts w:ascii="Century" w:hAnsi="Century"/>
          <w:sz w:val="22"/>
          <w:szCs w:val="22"/>
        </w:rPr>
        <w:t>Note: Authority cited: Section 10733.2, Water Code.</w:t>
      </w:r>
      <w:r>
        <w:rPr>
          <w:rFonts w:ascii="Century" w:hAnsi="Century"/>
          <w:sz w:val="22"/>
          <w:szCs w:val="22"/>
        </w:rPr>
        <w:br/>
        <w:t xml:space="preserve">Reference: Sections 10723.2, 10727.8, 10728.4, and 10733.2, Water Code </w:t>
      </w:r>
    </w:p>
    <w:p w14:paraId="2DCB08D7" w14:textId="77777777" w:rsidR="00404011" w:rsidRDefault="00E5582C"/>
    <w:sectPr w:rsidR="00404011" w:rsidSect="006E7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E0"/>
    <w:rsid w:val="003359E0"/>
    <w:rsid w:val="006E7B27"/>
    <w:rsid w:val="009174A2"/>
    <w:rsid w:val="00973060"/>
    <w:rsid w:val="00B02CEB"/>
    <w:rsid w:val="00B45F9D"/>
    <w:rsid w:val="00E5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5676DE"/>
  <w14:defaultImageDpi w14:val="32767"/>
  <w15:chartTrackingRefBased/>
  <w15:docId w15:val="{830D7A51-A72E-1743-956E-9871278D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59E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475580">
      <w:bodyDiv w:val="1"/>
      <w:marLeft w:val="0"/>
      <w:marRight w:val="0"/>
      <w:marTop w:val="0"/>
      <w:marBottom w:val="0"/>
      <w:divBdr>
        <w:top w:val="none" w:sz="0" w:space="0" w:color="auto"/>
        <w:left w:val="none" w:sz="0" w:space="0" w:color="auto"/>
        <w:bottom w:val="none" w:sz="0" w:space="0" w:color="auto"/>
        <w:right w:val="none" w:sz="0" w:space="0" w:color="auto"/>
      </w:divBdr>
      <w:divsChild>
        <w:div w:id="2027634553">
          <w:marLeft w:val="0"/>
          <w:marRight w:val="0"/>
          <w:marTop w:val="0"/>
          <w:marBottom w:val="0"/>
          <w:divBdr>
            <w:top w:val="none" w:sz="0" w:space="0" w:color="auto"/>
            <w:left w:val="none" w:sz="0" w:space="0" w:color="auto"/>
            <w:bottom w:val="none" w:sz="0" w:space="0" w:color="auto"/>
            <w:right w:val="none" w:sz="0" w:space="0" w:color="auto"/>
          </w:divBdr>
          <w:divsChild>
            <w:div w:id="1603030541">
              <w:marLeft w:val="0"/>
              <w:marRight w:val="0"/>
              <w:marTop w:val="0"/>
              <w:marBottom w:val="0"/>
              <w:divBdr>
                <w:top w:val="none" w:sz="0" w:space="0" w:color="auto"/>
                <w:left w:val="none" w:sz="0" w:space="0" w:color="auto"/>
                <w:bottom w:val="none" w:sz="0" w:space="0" w:color="auto"/>
                <w:right w:val="none" w:sz="0" w:space="0" w:color="auto"/>
              </w:divBdr>
              <w:divsChild>
                <w:div w:id="1388534189">
                  <w:marLeft w:val="0"/>
                  <w:marRight w:val="0"/>
                  <w:marTop w:val="0"/>
                  <w:marBottom w:val="0"/>
                  <w:divBdr>
                    <w:top w:val="none" w:sz="0" w:space="0" w:color="auto"/>
                    <w:left w:val="none" w:sz="0" w:space="0" w:color="auto"/>
                    <w:bottom w:val="none" w:sz="0" w:space="0" w:color="auto"/>
                    <w:right w:val="none" w:sz="0" w:space="0" w:color="auto"/>
                  </w:divBdr>
                </w:div>
              </w:divsChild>
            </w:div>
            <w:div w:id="156849831">
              <w:marLeft w:val="0"/>
              <w:marRight w:val="0"/>
              <w:marTop w:val="0"/>
              <w:marBottom w:val="0"/>
              <w:divBdr>
                <w:top w:val="none" w:sz="0" w:space="0" w:color="auto"/>
                <w:left w:val="none" w:sz="0" w:space="0" w:color="auto"/>
                <w:bottom w:val="none" w:sz="0" w:space="0" w:color="auto"/>
                <w:right w:val="none" w:sz="0" w:space="0" w:color="auto"/>
              </w:divBdr>
              <w:divsChild>
                <w:div w:id="159162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81926">
          <w:marLeft w:val="0"/>
          <w:marRight w:val="0"/>
          <w:marTop w:val="0"/>
          <w:marBottom w:val="0"/>
          <w:divBdr>
            <w:top w:val="none" w:sz="0" w:space="0" w:color="auto"/>
            <w:left w:val="none" w:sz="0" w:space="0" w:color="auto"/>
            <w:bottom w:val="none" w:sz="0" w:space="0" w:color="auto"/>
            <w:right w:val="none" w:sz="0" w:space="0" w:color="auto"/>
          </w:divBdr>
          <w:divsChild>
            <w:div w:id="827945109">
              <w:marLeft w:val="0"/>
              <w:marRight w:val="0"/>
              <w:marTop w:val="0"/>
              <w:marBottom w:val="0"/>
              <w:divBdr>
                <w:top w:val="none" w:sz="0" w:space="0" w:color="auto"/>
                <w:left w:val="none" w:sz="0" w:space="0" w:color="auto"/>
                <w:bottom w:val="none" w:sz="0" w:space="0" w:color="auto"/>
                <w:right w:val="none" w:sz="0" w:space="0" w:color="auto"/>
              </w:divBdr>
              <w:divsChild>
                <w:div w:id="73625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Janiec</dc:creator>
  <cp:keywords/>
  <dc:description/>
  <cp:lastModifiedBy>David Janiec</cp:lastModifiedBy>
  <cp:revision>5</cp:revision>
  <dcterms:created xsi:type="dcterms:W3CDTF">2022-03-18T18:50:00Z</dcterms:created>
  <dcterms:modified xsi:type="dcterms:W3CDTF">2022-03-22T02:03:00Z</dcterms:modified>
</cp:coreProperties>
</file>